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0" w:rsidRDefault="00F219A0" w:rsidP="00F219A0">
      <w:pPr>
        <w:rPr>
          <w:sz w:val="28"/>
          <w:szCs w:val="28"/>
        </w:rPr>
      </w:pPr>
      <w:r>
        <w:rPr>
          <w:b/>
          <w:sz w:val="28"/>
          <w:szCs w:val="28"/>
        </w:rPr>
        <w:t>Len</w:t>
      </w:r>
      <w:r w:rsidRPr="00F219A0">
        <w:rPr>
          <w:b/>
          <w:sz w:val="28"/>
          <w:szCs w:val="28"/>
        </w:rPr>
        <w:t xml:space="preserve">guajes </w:t>
      </w:r>
      <w:r>
        <w:rPr>
          <w:b/>
          <w:sz w:val="28"/>
          <w:szCs w:val="28"/>
        </w:rPr>
        <w:t xml:space="preserve">Tecnológicos </w:t>
      </w:r>
      <w:r>
        <w:rPr>
          <w:sz w:val="28"/>
          <w:szCs w:val="28"/>
        </w:rPr>
        <w:t>(Teoría)</w:t>
      </w:r>
    </w:p>
    <w:p w:rsidR="00DC5BAD" w:rsidRPr="00DC5BAD" w:rsidRDefault="00DC5BAD" w:rsidP="00F2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2do Año E.S.B.T.</w:t>
      </w:r>
    </w:p>
    <w:p w:rsidR="00F219A0" w:rsidRDefault="00DC5B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="00F219A0">
        <w:rPr>
          <w:sz w:val="24"/>
          <w:szCs w:val="24"/>
        </w:rPr>
        <w:t>Continuando con la carpeta, quiero explicar que el taller de electricidad aparte de los contenidos orientados a la formación técnica, en el ciclo básico también se ve orientado a las instalaciones de las viviendas por eso en este envío hablaremos de las acometidas y circuitos domiciliarios.</w:t>
      </w:r>
    </w:p>
    <w:p w:rsidR="00DC5BAD" w:rsidRDefault="00DC5BA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Acometidas Domiciliarias</w:t>
      </w:r>
    </w:p>
    <w:p w:rsidR="00DC5BAD" w:rsidRPr="00DC5BAD" w:rsidRDefault="00DC5BAD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5612130" cy="3563703"/>
            <wp:effectExtent l="0" t="0" r="7620" b="0"/>
            <wp:docPr id="1" name="Imagen 1" descr="Acometidas eléctricas domiciliarias - Acometida aé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metidas eléctricas domiciliarias - Acometida aé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A0" w:rsidRPr="00F219A0" w:rsidRDefault="00F219A0">
      <w:pPr>
        <w:rPr>
          <w:sz w:val="24"/>
          <w:szCs w:val="24"/>
        </w:rPr>
      </w:pPr>
    </w:p>
    <w:p w:rsidR="00DC5BAD" w:rsidRPr="00DC5BAD" w:rsidRDefault="00DC5BAD" w:rsidP="00DC5B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 xml:space="preserve"> Se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llama acometida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, en las instalaciones eléctricas domiciliarias, a la parte de la </w:t>
      </w:r>
      <w:hyperlink r:id="rId6" w:tgtFrame="_blank" w:history="1">
        <w:r w:rsidRPr="00DC5BAD">
          <w:rPr>
            <w:rFonts w:ascii="inherit" w:eastAsia="Times New Roman" w:hAnsi="inherit" w:cs="Helvetica"/>
            <w:b/>
            <w:bCs/>
            <w:color w:val="078FFF"/>
            <w:sz w:val="24"/>
            <w:szCs w:val="24"/>
            <w:bdr w:val="none" w:sz="0" w:space="0" w:color="auto" w:frame="1"/>
            <w:lang w:eastAsia="es-AR"/>
          </w:rPr>
          <w:t>red de distribución</w:t>
        </w:r>
      </w:hyperlink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de la empresa suministradora que alimenta a un tablero principal de una vivienda unifamiliar o múltiple.</w:t>
      </w:r>
    </w:p>
    <w:p w:rsidR="00DC5BAD" w:rsidRPr="00DC5BAD" w:rsidRDefault="00DC5BAD" w:rsidP="00DC5BA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</w:p>
    <w:p w:rsidR="00DC5BAD" w:rsidRPr="00DC5BAD" w:rsidRDefault="00DC5BAD" w:rsidP="00DC5B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Las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acometidas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, en este caso, finalizan en el denominado Tablero Principal.</w:t>
      </w:r>
    </w:p>
    <w:p w:rsidR="00DC5BAD" w:rsidRPr="00DC5BAD" w:rsidRDefault="00DC5BAD" w:rsidP="00DC5B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La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acometida más simple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para una vivienda unifamiliar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es monofásica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, a tres conductores, uno para la fase o activo, otro para el neutro y el tercero para la tierra. En el caso de un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edificio de varias viviendas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la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 xml:space="preserve">acometida 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lastRenderedPageBreak/>
        <w:t>normal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será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trifásica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. En este caso, cuatro conductores, tres para las fases y uno para el neutro. La tierra debe tenerse en la misma instalación del usuario.​</w:t>
      </w:r>
    </w:p>
    <w:p w:rsidR="00DC5BAD" w:rsidRDefault="00DC5BAD" w:rsidP="00DC5B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Las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acometidas eléctricas domiciliarias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pueden ser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aéreas o subterráneas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. En este caso, vemos  una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acometida simple aérea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, tanto para un pilar como sobre fachada de la vivienda. El caso de la </w:t>
      </w:r>
      <w:r w:rsidRPr="00DC5BAD">
        <w:rPr>
          <w:rFonts w:ascii="inherit" w:eastAsia="Times New Roman" w:hAnsi="inherit" w:cs="Helvetica"/>
          <w:b/>
          <w:bCs/>
          <w:color w:val="053359"/>
          <w:sz w:val="24"/>
          <w:szCs w:val="24"/>
          <w:bdr w:val="none" w:sz="0" w:space="0" w:color="auto" w:frame="1"/>
          <w:lang w:eastAsia="es-AR"/>
        </w:rPr>
        <w:t>acometida subterránea</w:t>
      </w:r>
      <w:r w:rsidRPr="00DC5BAD"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  <w:t> es bastante similar solo que el conductor ingresa por debajo de la tierra (enterrado).</w:t>
      </w:r>
    </w:p>
    <w:p w:rsidR="00DC5BAD" w:rsidRPr="00DC5BAD" w:rsidRDefault="00DC5BAD" w:rsidP="00DC5B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53359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057650" cy="5757999"/>
            <wp:effectExtent l="0" t="0" r="0" b="0"/>
            <wp:docPr id="2" name="Imagen 2" descr="Pilar simple con acometida aérea - Cro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ar simple con acometida aérea - Croqu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08" cy="57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A0" w:rsidRDefault="00DC5BAD">
      <w:pPr>
        <w:rPr>
          <w:sz w:val="24"/>
          <w:szCs w:val="24"/>
        </w:rPr>
      </w:pPr>
      <w:r>
        <w:rPr>
          <w:sz w:val="24"/>
          <w:szCs w:val="24"/>
        </w:rPr>
        <w:t xml:space="preserve">Este gráfico contiene algunas medidas aproximadas </w:t>
      </w:r>
      <w:r w:rsidR="007246BE">
        <w:rPr>
          <w:sz w:val="24"/>
          <w:szCs w:val="24"/>
        </w:rPr>
        <w:t>de una acometida.</w:t>
      </w:r>
    </w:p>
    <w:p w:rsidR="007246BE" w:rsidRDefault="007246BE">
      <w:pPr>
        <w:rPr>
          <w:sz w:val="24"/>
          <w:szCs w:val="24"/>
        </w:rPr>
      </w:pPr>
    </w:p>
    <w:p w:rsidR="007246BE" w:rsidRDefault="007246BE">
      <w:pPr>
        <w:rPr>
          <w:sz w:val="24"/>
          <w:szCs w:val="24"/>
        </w:rPr>
      </w:pPr>
    </w:p>
    <w:p w:rsidR="007246BE" w:rsidRDefault="00724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 siguiente es un esquema representativo de cómo se hallan conectadas las viviendas por medio de las empresas suministradoras.</w:t>
      </w:r>
    </w:p>
    <w:p w:rsidR="007246BE" w:rsidRDefault="007246BE">
      <w:pPr>
        <w:rPr>
          <w:sz w:val="24"/>
          <w:szCs w:val="24"/>
        </w:rPr>
      </w:pPr>
      <w:r>
        <w:rPr>
          <w:sz w:val="24"/>
          <w:szCs w:val="24"/>
        </w:rPr>
        <w:t>Están representados los elementos (símbolos) y los circuitos, con algunas secciones (medidas) de los conductores.</w:t>
      </w:r>
    </w:p>
    <w:p w:rsidR="007246BE" w:rsidRDefault="007246BE">
      <w:pPr>
        <w:rPr>
          <w:sz w:val="24"/>
          <w:szCs w:val="24"/>
        </w:rPr>
      </w:pPr>
    </w:p>
    <w:p w:rsidR="007246BE" w:rsidRPr="00DC5BAD" w:rsidRDefault="007246BE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4762500" cy="3571875"/>
            <wp:effectExtent l="0" t="0" r="0" b="9525"/>
            <wp:docPr id="3" name="Imagen 3" descr="esquema unifilar trifasico ersep - Buscar con Google | Instal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quema unifilar trifasico ersep - Buscar con Google | Instalació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A0" w:rsidRDefault="00F219A0">
      <w:pPr>
        <w:rPr>
          <w:b/>
          <w:sz w:val="28"/>
          <w:szCs w:val="28"/>
        </w:rPr>
      </w:pPr>
    </w:p>
    <w:p w:rsidR="007246BE" w:rsidRPr="00F219A0" w:rsidRDefault="007246BE">
      <w:pPr>
        <w:rPr>
          <w:b/>
          <w:sz w:val="28"/>
          <w:szCs w:val="28"/>
        </w:rPr>
      </w:pPr>
      <w:bookmarkStart w:id="0" w:name="_GoBack"/>
      <w:bookmarkEnd w:id="0"/>
    </w:p>
    <w:sectPr w:rsidR="007246BE" w:rsidRPr="00F21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0"/>
    <w:rsid w:val="006B7494"/>
    <w:rsid w:val="007246BE"/>
    <w:rsid w:val="00DC5BAD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C5BA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C5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C5BA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C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13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ectricasas.com/suministros/sistema-de-suministro-electric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2020-05-12T19:07:00Z</dcterms:created>
  <dcterms:modified xsi:type="dcterms:W3CDTF">2020-05-12T19:35:00Z</dcterms:modified>
</cp:coreProperties>
</file>